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67A7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32DC7EA4" w14:textId="77777777" w:rsidTr="005F7F7E">
        <w:tc>
          <w:tcPr>
            <w:tcW w:w="2438" w:type="dxa"/>
            <w:shd w:val="clear" w:color="auto" w:fill="auto"/>
          </w:tcPr>
          <w:p w14:paraId="4E181DCD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0E3C1ACA" w14:textId="77777777"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14:paraId="51FDE76D" w14:textId="77777777" w:rsidTr="005F7F7E">
        <w:tc>
          <w:tcPr>
            <w:tcW w:w="2438" w:type="dxa"/>
            <w:shd w:val="clear" w:color="auto" w:fill="auto"/>
          </w:tcPr>
          <w:p w14:paraId="4FF3297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E8A12BE" w14:textId="77777777" w:rsidR="00F445B1" w:rsidRPr="001356F1" w:rsidRDefault="003B7DA1" w:rsidP="00C93E2D">
            <w:pPr>
              <w:rPr>
                <w:b/>
              </w:rPr>
            </w:pPr>
            <w:r>
              <w:rPr>
                <w:rStyle w:val="Firstpagetablebold"/>
              </w:rPr>
              <w:t xml:space="preserve">Date of the meeting </w:t>
            </w:r>
            <w:r w:rsidR="00C93E2D">
              <w:rPr>
                <w:rStyle w:val="Firstpagetablebold"/>
              </w:rPr>
              <w:t>– Monday 27</w:t>
            </w:r>
            <w:r w:rsidR="00C93E2D" w:rsidRPr="00C93E2D">
              <w:rPr>
                <w:rStyle w:val="Firstpagetablebold"/>
                <w:vertAlign w:val="superscript"/>
              </w:rPr>
              <w:t>th</w:t>
            </w:r>
            <w:r w:rsidR="00C93E2D">
              <w:rPr>
                <w:rStyle w:val="Firstpagetablebold"/>
              </w:rPr>
              <w:t xml:space="preserve"> November 2017</w:t>
            </w:r>
          </w:p>
        </w:tc>
      </w:tr>
      <w:tr w:rsidR="00CE544A" w:rsidRPr="00975B07" w14:paraId="7BDE6081" w14:textId="77777777" w:rsidTr="005F7F7E">
        <w:tc>
          <w:tcPr>
            <w:tcW w:w="2438" w:type="dxa"/>
            <w:shd w:val="clear" w:color="auto" w:fill="auto"/>
          </w:tcPr>
          <w:p w14:paraId="14A429BA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8E171F9" w14:textId="77777777" w:rsidR="00F445B1" w:rsidRPr="001356F1" w:rsidRDefault="00C93E2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Electoral Registration Officer</w:t>
            </w:r>
          </w:p>
        </w:tc>
      </w:tr>
      <w:tr w:rsidR="00CE544A" w:rsidRPr="00975B07" w14:paraId="0499495F" w14:textId="77777777" w:rsidTr="005F7F7E">
        <w:tc>
          <w:tcPr>
            <w:tcW w:w="2438" w:type="dxa"/>
            <w:shd w:val="clear" w:color="auto" w:fill="auto"/>
          </w:tcPr>
          <w:p w14:paraId="1D29293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F1F735B" w14:textId="77777777" w:rsidR="00F445B1" w:rsidRPr="001356F1" w:rsidRDefault="00C93E2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Parliamentary Boundary Review 2018</w:t>
            </w:r>
          </w:p>
        </w:tc>
      </w:tr>
    </w:tbl>
    <w:p w14:paraId="07A076CA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598C1DE5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31F9DC7B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C93E2D" w14:paraId="4D5E550E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F63B168" w14:textId="77777777" w:rsidR="00C93E2D" w:rsidRDefault="00C93E2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E99CD1A" w14:textId="5E466882" w:rsidR="00C93E2D" w:rsidRPr="001356F1" w:rsidRDefault="00C93E2D" w:rsidP="00BA19EB">
            <w:r>
              <w:t>To ask the Boar</w:t>
            </w:r>
            <w:r w:rsidR="00BA19EB">
              <w:t xml:space="preserve">d to consider </w:t>
            </w:r>
            <w:r w:rsidR="00EB237A">
              <w:t xml:space="preserve">the </w:t>
            </w:r>
            <w:r w:rsidR="00BA19EB">
              <w:t xml:space="preserve">revised proposals </w:t>
            </w:r>
            <w:r>
              <w:t>of the Boundary Commission for England on parliamentary boundaries as they affect Oxford</w:t>
            </w:r>
            <w:r w:rsidRPr="001356F1">
              <w:t>.</w:t>
            </w:r>
          </w:p>
        </w:tc>
      </w:tr>
      <w:tr w:rsidR="00C93E2D" w14:paraId="37A0AAE4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6F1E888" w14:textId="77777777" w:rsidR="00C93E2D" w:rsidRDefault="00C93E2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9727934" w14:textId="77777777" w:rsidR="00C93E2D" w:rsidRPr="001356F1" w:rsidRDefault="00C93E2D" w:rsidP="00CC7119">
            <w:r w:rsidRPr="001356F1">
              <w:t xml:space="preserve">Yes </w:t>
            </w:r>
          </w:p>
        </w:tc>
      </w:tr>
      <w:tr w:rsidR="00C93E2D" w14:paraId="50CF12AF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9C8AEFE" w14:textId="77777777" w:rsidR="00C93E2D" w:rsidRDefault="00C93E2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2EE08AA" w14:textId="77777777" w:rsidR="00C93E2D" w:rsidRPr="001356F1" w:rsidRDefault="00C93E2D" w:rsidP="00CC7119">
            <w:r w:rsidRPr="001356F1">
              <w:t xml:space="preserve">Councillor </w:t>
            </w:r>
            <w:r>
              <w:t>Price</w:t>
            </w:r>
            <w:r w:rsidRPr="001356F1">
              <w:t xml:space="preserve">, </w:t>
            </w:r>
            <w:r>
              <w:t>Leader of the Council</w:t>
            </w:r>
          </w:p>
        </w:tc>
      </w:tr>
      <w:tr w:rsidR="00C93E2D" w14:paraId="1320DEE2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0CB4DE" w14:textId="77777777" w:rsidR="00C93E2D" w:rsidRDefault="00C93E2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8374B4" w14:textId="77777777" w:rsidR="00C93E2D" w:rsidRPr="001356F1" w:rsidRDefault="00C93E2D" w:rsidP="00CC7119">
            <w:r>
              <w:t>None</w:t>
            </w:r>
          </w:p>
        </w:tc>
      </w:tr>
      <w:tr w:rsidR="00C93E2D" w14:paraId="50B755DA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F132E22" w14:textId="77777777" w:rsidR="00C93E2D" w:rsidRDefault="00C93E2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DDDCABB" w14:textId="77777777" w:rsidR="00C93E2D" w:rsidRPr="001356F1" w:rsidRDefault="00C93E2D" w:rsidP="00CC7119">
            <w:r>
              <w:t>None</w:t>
            </w:r>
          </w:p>
        </w:tc>
      </w:tr>
      <w:tr w:rsidR="005F7F7E" w:rsidRPr="00975B07" w14:paraId="63B73A08" w14:textId="77777777" w:rsidTr="00C93E2D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246577F2" w14:textId="77777777" w:rsidR="005F7F7E" w:rsidRPr="00975B07" w:rsidRDefault="005F7F7E" w:rsidP="00E24D65">
            <w:r>
              <w:rPr>
                <w:rStyle w:val="Firstpagetablebold"/>
              </w:rPr>
              <w:t>Recommendation(s):</w:t>
            </w:r>
            <w:r w:rsidR="00E24D65">
              <w:rPr>
                <w:rStyle w:val="Firstpagetablebold"/>
              </w:rPr>
              <w:t xml:space="preserve"> </w:t>
            </w:r>
            <w:r w:rsidR="00E24D65" w:rsidRPr="00763AF5">
              <w:rPr>
                <w:rStyle w:val="Firstpagetablebold"/>
                <w:b w:val="0"/>
              </w:rPr>
              <w:t>t</w:t>
            </w:r>
            <w:r w:rsidRPr="00763AF5">
              <w:rPr>
                <w:rStyle w:val="Firstpagetablebold"/>
                <w:b w:val="0"/>
              </w:rPr>
              <w:t>hat the City Executive Board resolves to:</w:t>
            </w:r>
          </w:p>
        </w:tc>
      </w:tr>
      <w:tr w:rsidR="0030208D" w:rsidRPr="00975B07" w14:paraId="70F34C3C" w14:textId="77777777" w:rsidTr="00C93E2D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A897811" w14:textId="645175B8" w:rsidR="00763AF5" w:rsidRDefault="00046D2B" w:rsidP="004A6D2F">
            <w:r w:rsidRPr="00975B07">
              <w:t>1</w:t>
            </w:r>
          </w:p>
          <w:p w14:paraId="057A48DC" w14:textId="77777777" w:rsidR="00763AF5" w:rsidRPr="00763AF5" w:rsidRDefault="00763AF5" w:rsidP="004A6D2F">
            <w:pPr>
              <w:rPr>
                <w:sz w:val="16"/>
                <w:szCs w:val="16"/>
              </w:rPr>
            </w:pPr>
          </w:p>
          <w:p w14:paraId="073A2AD0" w14:textId="56CFE1C4" w:rsidR="00763AF5" w:rsidRPr="00975B07" w:rsidRDefault="00763AF5" w:rsidP="004A6D2F">
            <w:r>
              <w:t>2.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1501E3" w14:textId="65676058" w:rsidR="00763AF5" w:rsidRDefault="00763AF5" w:rsidP="00763AF5">
            <w:r>
              <w:rPr>
                <w:rStyle w:val="Firstpagetablebold"/>
                <w:b w:val="0"/>
              </w:rPr>
              <w:t>agree</w:t>
            </w:r>
            <w:r w:rsidR="00C93E2D">
              <w:rPr>
                <w:rStyle w:val="Firstpagetablebold"/>
              </w:rPr>
              <w:t xml:space="preserve"> </w:t>
            </w:r>
            <w:r>
              <w:rPr>
                <w:rStyle w:val="Firstpagetablebold"/>
                <w:b w:val="0"/>
              </w:rPr>
              <w:t>to</w:t>
            </w:r>
            <w:r w:rsidR="00EF55B9">
              <w:rPr>
                <w:rStyle w:val="Firstpagetablebold"/>
                <w:b w:val="0"/>
              </w:rPr>
              <w:t xml:space="preserve"> </w:t>
            </w:r>
            <w:r w:rsidR="00EB237A">
              <w:rPr>
                <w:rStyle w:val="Firstpagetablebold"/>
                <w:b w:val="0"/>
              </w:rPr>
              <w:t xml:space="preserve">support of </w:t>
            </w:r>
            <w:r w:rsidR="00C93E2D">
              <w:rPr>
                <w:rStyle w:val="Firstpagetablebold"/>
                <w:b w:val="0"/>
              </w:rPr>
              <w:t xml:space="preserve">the revised proposals </w:t>
            </w:r>
            <w:r w:rsidR="00C93E2D" w:rsidRPr="00F96796">
              <w:rPr>
                <w:rStyle w:val="Firstpagetablebold"/>
                <w:b w:val="0"/>
              </w:rPr>
              <w:t>of the Boundary Commission for England</w:t>
            </w:r>
            <w:r>
              <w:rPr>
                <w:rStyle w:val="Firstpagetablebold"/>
                <w:b w:val="0"/>
              </w:rPr>
              <w:t xml:space="preserve"> on parliamentary constituency boundaries,</w:t>
            </w:r>
            <w:r w:rsidR="00C93E2D" w:rsidRPr="00F96796">
              <w:rPr>
                <w:rStyle w:val="Firstpagetablebold"/>
                <w:b w:val="0"/>
              </w:rPr>
              <w:t xml:space="preserve"> as they affect Oxford</w:t>
            </w:r>
            <w:r>
              <w:rPr>
                <w:rStyle w:val="Firstpagetablebold"/>
                <w:b w:val="0"/>
              </w:rPr>
              <w:t>;</w:t>
            </w:r>
          </w:p>
          <w:p w14:paraId="5D89223C" w14:textId="2CEBF076" w:rsidR="00763AF5" w:rsidRPr="001356F1" w:rsidRDefault="00763AF5" w:rsidP="00763AF5">
            <w:r>
              <w:t>consider the Commission’s proposals on the names of the two new constituencies;</w:t>
            </w:r>
          </w:p>
        </w:tc>
      </w:tr>
    </w:tbl>
    <w:p w14:paraId="40C07DFA" w14:textId="05F9A9A1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29E3A3A3" w14:textId="77777777" w:rsidTr="00AA41F4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DB41E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2DFD9F5E" w14:textId="77777777" w:rsidTr="00AA41F4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D097BA9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FD9B4E6" w14:textId="77777777" w:rsidR="00ED5860" w:rsidRPr="001356F1" w:rsidRDefault="0020562B" w:rsidP="004A6D2F">
            <w:r>
              <w:t>Risk Register</w:t>
            </w:r>
          </w:p>
        </w:tc>
      </w:tr>
    </w:tbl>
    <w:p w14:paraId="75D79B62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6B70EE51" w14:textId="77777777" w:rsidR="00E87F7A" w:rsidRDefault="00E24D65" w:rsidP="005570B5">
      <w:pPr>
        <w:pStyle w:val="ListParagraph"/>
      </w:pPr>
      <w:r>
        <w:t>The Boundary Commission for England has been carrying out a review of parliamentary boundaries for England since 2011. This is alongside other nation</w:t>
      </w:r>
      <w:r w:rsidR="00CC7119">
        <w:t>al commissions for Scotland, Wal</w:t>
      </w:r>
      <w:r>
        <w:t>es and Northern Ir</w:t>
      </w:r>
      <w:r w:rsidR="00CC7119">
        <w:t>eland. The review will result in</w:t>
      </w:r>
      <w:r>
        <w:t xml:space="preserve"> parliament’s total size being reduced from 650 to 600 seats.</w:t>
      </w:r>
    </w:p>
    <w:p w14:paraId="66739308" w14:textId="77777777" w:rsidR="00E24D65" w:rsidRDefault="00E24D65" w:rsidP="005570B5">
      <w:pPr>
        <w:pStyle w:val="ListParagraph"/>
      </w:pPr>
      <w:r>
        <w:t>At its meeting on 17</w:t>
      </w:r>
      <w:r w:rsidRPr="00E24D65">
        <w:rPr>
          <w:vertAlign w:val="superscript"/>
        </w:rPr>
        <w:t>th</w:t>
      </w:r>
      <w:r w:rsidR="008757B8">
        <w:t xml:space="preserve"> November 2016 (minute 89</w:t>
      </w:r>
      <w:r>
        <w:t>) the Board considered a report detailing the Commission’s initial proposals.</w:t>
      </w:r>
    </w:p>
    <w:p w14:paraId="7ADC929D" w14:textId="03D3C008" w:rsidR="00E24D65" w:rsidRPr="001356F1" w:rsidRDefault="00E24D65" w:rsidP="005570B5">
      <w:pPr>
        <w:pStyle w:val="ListParagraph"/>
      </w:pPr>
      <w:r>
        <w:t xml:space="preserve">The Board agreed to recommend </w:t>
      </w:r>
      <w:r w:rsidR="00A82B4E">
        <w:t xml:space="preserve">to </w:t>
      </w:r>
      <w:r>
        <w:t xml:space="preserve">the Commission </w:t>
      </w:r>
      <w:r w:rsidR="00A82B4E">
        <w:t xml:space="preserve">that it </w:t>
      </w:r>
      <w:r>
        <w:t xml:space="preserve">amend its proposals to </w:t>
      </w:r>
      <w:r w:rsidR="008757B8">
        <w:t>remove</w:t>
      </w:r>
      <w:r>
        <w:t xml:space="preserve"> St. Margaret’s ward from the suggested Oxford East constituency and to replace it with Jericho and Osney ward.</w:t>
      </w:r>
      <w:r w:rsidR="008757B8">
        <w:t xml:space="preserve"> St. Margaret’s would then remain in Oxford West and Abingdon.</w:t>
      </w:r>
    </w:p>
    <w:p w14:paraId="7AF182C6" w14:textId="77777777" w:rsidR="00633578" w:rsidRPr="001356F1" w:rsidRDefault="00E24D65" w:rsidP="00E87F7A">
      <w:pPr>
        <w:pStyle w:val="Heading1"/>
      </w:pPr>
      <w:r>
        <w:lastRenderedPageBreak/>
        <w:t>The Commission’s revised proposals</w:t>
      </w:r>
    </w:p>
    <w:p w14:paraId="1E32DBF2" w14:textId="6D7A9DB0" w:rsidR="00E87F7A" w:rsidRPr="001356F1" w:rsidRDefault="00E24D65" w:rsidP="005570B5">
      <w:pPr>
        <w:pStyle w:val="bParagraphtext"/>
        <w:rPr>
          <w:rStyle w:val="ListParagraphChar"/>
        </w:rPr>
      </w:pPr>
      <w:r>
        <w:t xml:space="preserve">The Commission published its revised </w:t>
      </w:r>
      <w:r w:rsidR="00631460">
        <w:t>proposals</w:t>
      </w:r>
      <w:r>
        <w:t xml:space="preserve"> on </w:t>
      </w:r>
      <w:r w:rsidR="00A21EC9">
        <w:t xml:space="preserve">the </w:t>
      </w:r>
      <w:r>
        <w:t>17</w:t>
      </w:r>
      <w:r w:rsidRPr="00E24D65">
        <w:rPr>
          <w:vertAlign w:val="superscript"/>
        </w:rPr>
        <w:t>th</w:t>
      </w:r>
      <w:r>
        <w:t xml:space="preserve"> October</w:t>
      </w:r>
      <w:r w:rsidR="00120EA0">
        <w:t xml:space="preserve"> 2017</w:t>
      </w:r>
      <w:r w:rsidR="00E87F7A" w:rsidRPr="001356F1">
        <w:rPr>
          <w:rStyle w:val="ListParagraphChar"/>
        </w:rPr>
        <w:t>.</w:t>
      </w:r>
      <w:r w:rsidR="00B6149D">
        <w:rPr>
          <w:rStyle w:val="ListParagraphChar"/>
        </w:rPr>
        <w:t xml:space="preserve"> The consultation closes on</w:t>
      </w:r>
      <w:r w:rsidR="00CC7119">
        <w:rPr>
          <w:rStyle w:val="ListParagraphChar"/>
        </w:rPr>
        <w:t xml:space="preserve"> 11</w:t>
      </w:r>
      <w:r w:rsidR="00CC7119" w:rsidRPr="00CC7119">
        <w:rPr>
          <w:rStyle w:val="ListParagraphChar"/>
          <w:vertAlign w:val="superscript"/>
        </w:rPr>
        <w:t>th</w:t>
      </w:r>
      <w:r w:rsidR="00CC7119">
        <w:rPr>
          <w:rStyle w:val="ListParagraphChar"/>
        </w:rPr>
        <w:t xml:space="preserve"> December 2017.</w:t>
      </w:r>
    </w:p>
    <w:p w14:paraId="202C89B0" w14:textId="77777777" w:rsidR="00E87F7A" w:rsidRPr="001356F1" w:rsidRDefault="00E24D65" w:rsidP="005570B5">
      <w:pPr>
        <w:pStyle w:val="bParagraphtext"/>
      </w:pPr>
      <w:r>
        <w:t>The Commission is now proposing to take North and Jericho &amp; Osney wards from the current Oxford West and Abingdon constituency and include them with the newly named Oxford constituency</w:t>
      </w:r>
      <w:r w:rsidR="00B6149D">
        <w:t xml:space="preserve"> (formerly Oxford East)</w:t>
      </w:r>
      <w:r>
        <w:t>.</w:t>
      </w:r>
    </w:p>
    <w:p w14:paraId="67AAF64F" w14:textId="77777777" w:rsidR="00E87F7A" w:rsidRPr="001356F1" w:rsidRDefault="00E24D65" w:rsidP="005570B5">
      <w:pPr>
        <w:pStyle w:val="bParagraphtext"/>
      </w:pPr>
      <w:proofErr w:type="spellStart"/>
      <w:r>
        <w:t>Wolvercote</w:t>
      </w:r>
      <w:proofErr w:type="spellEnd"/>
      <w:r>
        <w:t>, Summertown</w:t>
      </w:r>
      <w:r w:rsidR="00B6149D">
        <w:t xml:space="preserve"> and St. Margaret’s wards would remain in a renamed Abingdon and Oxford North constituency</w:t>
      </w:r>
      <w:r w:rsidR="00E87F7A" w:rsidRPr="001356F1">
        <w:t>.</w:t>
      </w:r>
    </w:p>
    <w:p w14:paraId="24B81895" w14:textId="77777777" w:rsidR="00E87F7A" w:rsidRDefault="00D47902" w:rsidP="005570B5">
      <w:pPr>
        <w:pStyle w:val="bParagraphtext"/>
      </w:pPr>
      <w:r>
        <w:t xml:space="preserve">These proposals, constituency names apart, implement the </w:t>
      </w:r>
      <w:r w:rsidR="00BA19EB">
        <w:t>Board’s</w:t>
      </w:r>
      <w:r>
        <w:t xml:space="preserve"> recommendations</w:t>
      </w:r>
      <w:r w:rsidR="00BA19EB">
        <w:t>,</w:t>
      </w:r>
      <w:r>
        <w:t xml:space="preserve"> agreed in November 2016.</w:t>
      </w:r>
    </w:p>
    <w:p w14:paraId="4593C47A" w14:textId="77777777" w:rsidR="00D47902" w:rsidRDefault="00D47902" w:rsidP="005570B5">
      <w:pPr>
        <w:pStyle w:val="bParagraphtext"/>
      </w:pPr>
      <w:r>
        <w:t xml:space="preserve">The Commission has suggested the names of the two constituencies that cover Oxford be changed to better reflect their constituent areas. Oxford East should become Oxford as it now comprises </w:t>
      </w:r>
      <w:r w:rsidR="00CC7119">
        <w:t>87</w:t>
      </w:r>
      <w:r>
        <w:t>% of the city</w:t>
      </w:r>
      <w:r w:rsidR="00CC7119">
        <w:t>’s electors</w:t>
      </w:r>
      <w:r>
        <w:t xml:space="preserve">. Oxford West and Abingdon </w:t>
      </w:r>
      <w:r w:rsidR="00BA19EB">
        <w:t xml:space="preserve">would </w:t>
      </w:r>
      <w:r>
        <w:t>be renamed Abingdon and Oxford North.</w:t>
      </w:r>
    </w:p>
    <w:p w14:paraId="50E54693" w14:textId="77777777" w:rsidR="009F56E5" w:rsidRDefault="009F56E5" w:rsidP="005570B5">
      <w:pPr>
        <w:pStyle w:val="bParagraphtext"/>
      </w:pPr>
      <w:r>
        <w:t>Each proposed constituency must have an electorate of between 71,031 and 78,507</w:t>
      </w:r>
    </w:p>
    <w:p w14:paraId="06D14F78" w14:textId="77777777" w:rsidR="009F56E5" w:rsidRDefault="008757B8" w:rsidP="00AA41F4">
      <w:pPr>
        <w:pStyle w:val="bParagraphtext"/>
      </w:pPr>
      <w:r>
        <w:t>The electorate</w:t>
      </w:r>
      <w:r w:rsidR="0020562B">
        <w:t>s</w:t>
      </w:r>
      <w:r>
        <w:t xml:space="preserve"> for the amended constituencies are as follows:</w:t>
      </w:r>
      <w:r w:rsidR="00AA41F4">
        <w:t xml:space="preserve"> </w:t>
      </w:r>
      <w:bookmarkStart w:id="0" w:name="_GoBack"/>
      <w:bookmarkEnd w:id="0"/>
    </w:p>
    <w:p w14:paraId="26E26ECF" w14:textId="77777777" w:rsidR="00AA41F4" w:rsidRDefault="00AA41F4" w:rsidP="009F04F3">
      <w:pPr>
        <w:pStyle w:val="bParagraphtext"/>
        <w:numPr>
          <w:ilvl w:val="0"/>
          <w:numId w:val="0"/>
        </w:num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53"/>
        <w:gridCol w:w="2500"/>
      </w:tblGrid>
      <w:tr w:rsidR="008757B8" w:rsidRPr="00120EA0" w14:paraId="52BA786C" w14:textId="77777777" w:rsidTr="0020562B">
        <w:tc>
          <w:tcPr>
            <w:tcW w:w="4553" w:type="dxa"/>
          </w:tcPr>
          <w:p w14:paraId="57C1C839" w14:textId="77777777" w:rsidR="008757B8" w:rsidRPr="00120EA0" w:rsidRDefault="00BA19EB" w:rsidP="0020562B">
            <w:pPr>
              <w:pStyle w:val="bParagraph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20562B" w:rsidRPr="00120EA0">
              <w:rPr>
                <w:b/>
              </w:rPr>
              <w:t>Constituency</w:t>
            </w:r>
          </w:p>
        </w:tc>
        <w:tc>
          <w:tcPr>
            <w:tcW w:w="2500" w:type="dxa"/>
          </w:tcPr>
          <w:p w14:paraId="402B286B" w14:textId="77777777" w:rsidR="008757B8" w:rsidRPr="00120EA0" w:rsidRDefault="0020562B" w:rsidP="0020562B">
            <w:pPr>
              <w:pStyle w:val="bParagraphtex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20EA0">
              <w:rPr>
                <w:b/>
              </w:rPr>
              <w:t>Electorate (based on 01/12/15 figures)</w:t>
            </w:r>
          </w:p>
        </w:tc>
      </w:tr>
      <w:tr w:rsidR="008757B8" w14:paraId="6EBED642" w14:textId="77777777" w:rsidTr="0020562B">
        <w:tc>
          <w:tcPr>
            <w:tcW w:w="4553" w:type="dxa"/>
          </w:tcPr>
          <w:p w14:paraId="56AAA21F" w14:textId="77777777" w:rsidR="008757B8" w:rsidRDefault="0020562B" w:rsidP="008757B8">
            <w:pPr>
              <w:pStyle w:val="bParagraphtext"/>
              <w:numPr>
                <w:ilvl w:val="0"/>
                <w:numId w:val="0"/>
              </w:numPr>
            </w:pPr>
            <w:r>
              <w:t>Oxford</w:t>
            </w:r>
          </w:p>
        </w:tc>
        <w:tc>
          <w:tcPr>
            <w:tcW w:w="2500" w:type="dxa"/>
          </w:tcPr>
          <w:p w14:paraId="6B1A65C3" w14:textId="77777777" w:rsidR="008757B8" w:rsidRDefault="0020562B" w:rsidP="0020562B">
            <w:pPr>
              <w:pStyle w:val="bParagraphtext"/>
              <w:numPr>
                <w:ilvl w:val="0"/>
                <w:numId w:val="0"/>
              </w:numPr>
              <w:jc w:val="right"/>
            </w:pPr>
            <w:r>
              <w:t>77,269</w:t>
            </w:r>
          </w:p>
        </w:tc>
      </w:tr>
      <w:tr w:rsidR="0020562B" w14:paraId="1967FA0C" w14:textId="77777777" w:rsidTr="0020562B">
        <w:tc>
          <w:tcPr>
            <w:tcW w:w="4553" w:type="dxa"/>
          </w:tcPr>
          <w:p w14:paraId="2A2E9BE3" w14:textId="77777777" w:rsidR="0020562B" w:rsidRDefault="0020562B" w:rsidP="008757B8">
            <w:pPr>
              <w:pStyle w:val="bParagraphtext"/>
              <w:numPr>
                <w:ilvl w:val="0"/>
                <w:numId w:val="0"/>
              </w:numPr>
            </w:pPr>
            <w:r>
              <w:t>Abingdon and Oxford North</w:t>
            </w:r>
          </w:p>
        </w:tc>
        <w:tc>
          <w:tcPr>
            <w:tcW w:w="2500" w:type="dxa"/>
          </w:tcPr>
          <w:p w14:paraId="591F1B52" w14:textId="77777777" w:rsidR="0020562B" w:rsidRDefault="0020562B" w:rsidP="0020562B">
            <w:pPr>
              <w:pStyle w:val="bParagraphtext"/>
              <w:numPr>
                <w:ilvl w:val="0"/>
                <w:numId w:val="0"/>
              </w:numPr>
              <w:jc w:val="right"/>
            </w:pPr>
            <w:r>
              <w:t>72,654</w:t>
            </w:r>
          </w:p>
        </w:tc>
      </w:tr>
    </w:tbl>
    <w:p w14:paraId="44F06F5B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56ECDD75" w14:textId="77777777" w:rsidR="00E87F7A" w:rsidRPr="001356F1" w:rsidRDefault="00B6149D" w:rsidP="005570B5">
      <w:pPr>
        <w:pStyle w:val="ListParagraph"/>
      </w:pPr>
      <w:r>
        <w:t>There are no financial implications.</w:t>
      </w:r>
    </w:p>
    <w:p w14:paraId="57F8C4D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7DA374AB" w14:textId="77777777" w:rsidR="00E87F7A" w:rsidRPr="001356F1" w:rsidRDefault="00B6149D" w:rsidP="005570B5">
      <w:pPr>
        <w:pStyle w:val="ListParagraph"/>
      </w:pPr>
      <w:r>
        <w:t>There are no legal implications.</w:t>
      </w:r>
    </w:p>
    <w:p w14:paraId="02BFAFCC" w14:textId="77777777" w:rsidR="002329CF" w:rsidRPr="001356F1" w:rsidRDefault="002329CF" w:rsidP="004A6D2F">
      <w:pPr>
        <w:pStyle w:val="Heading1"/>
      </w:pPr>
      <w:r w:rsidRPr="001356F1">
        <w:t>Level of risk</w:t>
      </w:r>
    </w:p>
    <w:p w14:paraId="0EC7D956" w14:textId="77777777" w:rsidR="00BC69A4" w:rsidRPr="001356F1" w:rsidRDefault="00120EA0" w:rsidP="005570B5">
      <w:pPr>
        <w:pStyle w:val="ListParagraph"/>
      </w:pPr>
      <w:r>
        <w:t>The Risk Register is attached as Appendix 1.</w:t>
      </w:r>
    </w:p>
    <w:p w14:paraId="23E982E0" w14:textId="77777777"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CC7119" w:rsidRPr="001356F1" w14:paraId="0819E149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04E928E" w14:textId="77777777" w:rsidR="00CC7119" w:rsidRPr="001356F1" w:rsidRDefault="00AA41F4" w:rsidP="00CC7119">
            <w:pPr>
              <w:rPr>
                <w:b/>
              </w:rPr>
            </w:pPr>
            <w:r>
              <w:rPr>
                <w:b/>
              </w:rPr>
              <w:t>R</w:t>
            </w:r>
            <w:r w:rsidR="00CC7119" w:rsidRPr="001356F1">
              <w:rPr>
                <w:b/>
              </w:rPr>
              <w:t>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940DA" w14:textId="77777777" w:rsidR="00CC7119" w:rsidRPr="001356F1" w:rsidRDefault="00CC7119" w:rsidP="00CC7119">
            <w:r>
              <w:t>Martin John</w:t>
            </w:r>
          </w:p>
        </w:tc>
      </w:tr>
      <w:tr w:rsidR="00CC7119" w:rsidRPr="001356F1" w14:paraId="4E6A3938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3E46B2F" w14:textId="77777777" w:rsidR="00CC7119" w:rsidRPr="001356F1" w:rsidRDefault="00CC7119" w:rsidP="00CC7119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CF0D6B8" w14:textId="77777777" w:rsidR="00CC7119" w:rsidRPr="001356F1" w:rsidRDefault="00CC7119" w:rsidP="00CC7119">
            <w:r>
              <w:t>Electoral Services Manager</w:t>
            </w:r>
          </w:p>
        </w:tc>
      </w:tr>
      <w:tr w:rsidR="00CC7119" w:rsidRPr="001356F1" w14:paraId="31AA905B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C21F428" w14:textId="77777777" w:rsidR="00CC7119" w:rsidRPr="001356F1" w:rsidRDefault="00CC7119" w:rsidP="00CC7119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DA08211" w14:textId="77777777" w:rsidR="00CC7119" w:rsidRPr="001356F1" w:rsidRDefault="00CC7119" w:rsidP="00CC7119">
            <w:r>
              <w:t>Law and Governance</w:t>
            </w:r>
          </w:p>
        </w:tc>
      </w:tr>
      <w:tr w:rsidR="00CC7119" w:rsidRPr="001356F1" w14:paraId="7D84014C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70C627" w14:textId="77777777" w:rsidR="00CC7119" w:rsidRPr="001356F1" w:rsidRDefault="00CC7119" w:rsidP="00CC7119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6EB0DE" w14:textId="77777777" w:rsidR="00CC7119" w:rsidRPr="001356F1" w:rsidRDefault="00CC7119" w:rsidP="00CC7119">
            <w:r w:rsidRPr="001356F1">
              <w:t>01865</w:t>
            </w:r>
            <w:r>
              <w:t xml:space="preserve"> 252518</w:t>
            </w:r>
            <w:r w:rsidRPr="001356F1">
              <w:t xml:space="preserve">  </w:t>
            </w:r>
          </w:p>
        </w:tc>
      </w:tr>
      <w:tr w:rsidR="00CC7119" w:rsidRPr="001356F1" w14:paraId="7DA8C818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32B9D8" w14:textId="77777777" w:rsidR="00CC7119" w:rsidRPr="001356F1" w:rsidRDefault="00CC7119" w:rsidP="00CC7119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06969" w14:textId="77777777" w:rsidR="00CC7119" w:rsidRPr="001356F1" w:rsidRDefault="00CC7119" w:rsidP="00CC7119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mjohn@oxford.gov.uk</w:t>
            </w:r>
          </w:p>
        </w:tc>
      </w:tr>
    </w:tbl>
    <w:p w14:paraId="4F113096" w14:textId="77777777" w:rsidR="00433B96" w:rsidRDefault="00433B96" w:rsidP="004A6D2F"/>
    <w:p w14:paraId="6181CBAC" w14:textId="77777777" w:rsidR="00AA41F4" w:rsidRDefault="00AA41F4" w:rsidP="004A6D2F"/>
    <w:p w14:paraId="4B6F75E0" w14:textId="77777777" w:rsidR="00AA41F4" w:rsidRPr="001356F1" w:rsidRDefault="00AA41F4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14:paraId="305E2D22" w14:textId="77777777" w:rsidTr="00CC7119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09FDE7" w14:textId="77777777" w:rsidR="0093067A" w:rsidRPr="001356F1" w:rsidRDefault="00182B81" w:rsidP="00F41AC1">
            <w:r w:rsidRPr="001356F1">
              <w:rPr>
                <w:rStyle w:val="Firstpagetablebold"/>
              </w:rPr>
              <w:lastRenderedPageBreak/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DF093E" w:rsidRPr="001356F1" w14:paraId="1E6BEE39" w14:textId="77777777" w:rsidTr="00CC71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7F63D41" w14:textId="77777777"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2C98C087" w14:textId="77777777" w:rsidR="00CC7119" w:rsidRPr="00CC7119" w:rsidRDefault="00CC7119" w:rsidP="00CC7119">
            <w:r w:rsidRPr="00CC7119">
              <w:t xml:space="preserve">BCE Guide to the 2018 Review </w:t>
            </w:r>
          </w:p>
          <w:p w14:paraId="7B1ED3AE" w14:textId="77777777" w:rsidR="00CC7119" w:rsidRPr="00CC7119" w:rsidRDefault="00CC7119" w:rsidP="00CC7119">
            <w:r w:rsidRPr="00CC7119">
              <w:t xml:space="preserve">Review generally: </w:t>
            </w:r>
            <w:hyperlink r:id="rId9" w:history="1">
              <w:r w:rsidRPr="00CC7119">
                <w:rPr>
                  <w:rFonts w:cs="Arial"/>
                  <w:color w:val="0000FF"/>
                  <w:u w:val="single"/>
                </w:rPr>
                <w:t>www.independent.gov.uk/boundarycommissionforengland</w:t>
              </w:r>
            </w:hyperlink>
            <w:r w:rsidRPr="00CC7119">
              <w:rPr>
                <w:rFonts w:cs="Arial"/>
              </w:rPr>
              <w:t xml:space="preserve"> </w:t>
            </w:r>
          </w:p>
          <w:p w14:paraId="68ABB5D7" w14:textId="77777777" w:rsidR="0093067A" w:rsidRPr="001356F1" w:rsidRDefault="00CC7119" w:rsidP="00CC7119">
            <w:r w:rsidRPr="00CC7119">
              <w:t xml:space="preserve">The South-east Proposals specifically: </w:t>
            </w:r>
            <w:hyperlink r:id="rId10" w:history="1">
              <w:r w:rsidRPr="00CC7119">
                <w:rPr>
                  <w:color w:val="0000FF"/>
                  <w:u w:val="single"/>
                </w:rPr>
                <w:t>https://www.bce2018.org.uk/node/6488</w:t>
              </w:r>
            </w:hyperlink>
            <w:r w:rsidRPr="00CC7119">
              <w:t xml:space="preserve"> </w:t>
            </w:r>
          </w:p>
        </w:tc>
      </w:tr>
    </w:tbl>
    <w:p w14:paraId="2D9EB083" w14:textId="77777777" w:rsidR="00CE4C87" w:rsidRDefault="00CE4C87" w:rsidP="0093067A"/>
    <w:p w14:paraId="0A67DC40" w14:textId="10E2878E" w:rsidR="004456DD" w:rsidRPr="009E51FC" w:rsidRDefault="004456DD" w:rsidP="005D5004"/>
    <w:sectPr w:rsidR="004456DD" w:rsidRPr="009E51FC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24EF1" w14:textId="77777777" w:rsidR="00E20101" w:rsidRDefault="00E20101" w:rsidP="004A6D2F">
      <w:r>
        <w:separator/>
      </w:r>
    </w:p>
  </w:endnote>
  <w:endnote w:type="continuationSeparator" w:id="0">
    <w:p w14:paraId="71946BBA" w14:textId="77777777" w:rsidR="00E20101" w:rsidRDefault="00E20101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3E5B" w14:textId="77777777" w:rsidR="00AA41F4" w:rsidRDefault="00AA41F4" w:rsidP="004A6D2F">
    <w:pPr>
      <w:pStyle w:val="Footer"/>
    </w:pPr>
    <w:r>
      <w:t>Do not use a footer or page numbers.</w:t>
    </w:r>
  </w:p>
  <w:p w14:paraId="02DFD712" w14:textId="77777777" w:rsidR="00AA41F4" w:rsidRDefault="00AA41F4" w:rsidP="004A6D2F">
    <w:pPr>
      <w:pStyle w:val="Footer"/>
    </w:pPr>
  </w:p>
  <w:p w14:paraId="604A6EE1" w14:textId="77777777" w:rsidR="00AA41F4" w:rsidRDefault="00AA41F4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A41A" w14:textId="77777777" w:rsidR="00AA41F4" w:rsidRDefault="00AA41F4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8052F" w14:textId="77777777" w:rsidR="00E20101" w:rsidRDefault="00E20101" w:rsidP="004A6D2F">
      <w:r>
        <w:separator/>
      </w:r>
    </w:p>
  </w:footnote>
  <w:footnote w:type="continuationSeparator" w:id="0">
    <w:p w14:paraId="2C848FFE" w14:textId="77777777" w:rsidR="00E20101" w:rsidRDefault="00E20101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CA7B" w14:textId="77777777" w:rsidR="00AA41F4" w:rsidRDefault="00AA41F4" w:rsidP="00D5547E">
    <w:pPr>
      <w:pStyle w:val="Header"/>
      <w:jc w:val="right"/>
    </w:pPr>
    <w:r>
      <w:rPr>
        <w:noProof/>
      </w:rPr>
      <w:drawing>
        <wp:inline distT="0" distB="0" distL="0" distR="0" wp14:anchorId="41ADC3C5" wp14:editId="423C3C1A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D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20EA0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562B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5004"/>
    <w:rsid w:val="005E022E"/>
    <w:rsid w:val="005E5215"/>
    <w:rsid w:val="005F7F7E"/>
    <w:rsid w:val="00614693"/>
    <w:rsid w:val="00623C2F"/>
    <w:rsid w:val="00631460"/>
    <w:rsid w:val="00633578"/>
    <w:rsid w:val="00637068"/>
    <w:rsid w:val="00650811"/>
    <w:rsid w:val="00661D3E"/>
    <w:rsid w:val="006769EA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3AF5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757B8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43F"/>
    <w:rsid w:val="00975B07"/>
    <w:rsid w:val="00980B4A"/>
    <w:rsid w:val="009E3D0A"/>
    <w:rsid w:val="009E51FC"/>
    <w:rsid w:val="009F04F3"/>
    <w:rsid w:val="009F1D28"/>
    <w:rsid w:val="009F56E5"/>
    <w:rsid w:val="009F7618"/>
    <w:rsid w:val="00A04D23"/>
    <w:rsid w:val="00A06766"/>
    <w:rsid w:val="00A13765"/>
    <w:rsid w:val="00A21B12"/>
    <w:rsid w:val="00A21EC9"/>
    <w:rsid w:val="00A23F80"/>
    <w:rsid w:val="00A46E98"/>
    <w:rsid w:val="00A6352B"/>
    <w:rsid w:val="00A701B5"/>
    <w:rsid w:val="00A714BB"/>
    <w:rsid w:val="00A82B4E"/>
    <w:rsid w:val="00A92D8F"/>
    <w:rsid w:val="00AA41F4"/>
    <w:rsid w:val="00AB2988"/>
    <w:rsid w:val="00AB7999"/>
    <w:rsid w:val="00AD3292"/>
    <w:rsid w:val="00AE7AF0"/>
    <w:rsid w:val="00B500CA"/>
    <w:rsid w:val="00B6149D"/>
    <w:rsid w:val="00B86314"/>
    <w:rsid w:val="00BA19EB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93E2D"/>
    <w:rsid w:val="00CA2103"/>
    <w:rsid w:val="00CB6B99"/>
    <w:rsid w:val="00CC7119"/>
    <w:rsid w:val="00CE4C87"/>
    <w:rsid w:val="00CE544A"/>
    <w:rsid w:val="00D11E1C"/>
    <w:rsid w:val="00D160B0"/>
    <w:rsid w:val="00D17F94"/>
    <w:rsid w:val="00D223FC"/>
    <w:rsid w:val="00D26D1E"/>
    <w:rsid w:val="00D474CF"/>
    <w:rsid w:val="00D47902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101"/>
    <w:rsid w:val="00E206D6"/>
    <w:rsid w:val="00E24D65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B237A"/>
    <w:rsid w:val="00ED52CA"/>
    <w:rsid w:val="00ED5860"/>
    <w:rsid w:val="00EE35C9"/>
    <w:rsid w:val="00EF55B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B5BD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C57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ce2018.org.uk/node/64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ependent.gov.uk/boundarycommissionforengl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\Downloads\CEB%20report%20-%20blank%20template%20to%20be%20used%20from%20January%202016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6EA2-2C76-43A4-8867-A6A7341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(3)</Template>
  <TotalTime>1</TotalTime>
  <Pages>3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</dc:creator>
  <cp:lastModifiedBy>JMitchell</cp:lastModifiedBy>
  <cp:revision>2</cp:revision>
  <cp:lastPrinted>2015-07-03T12:50:00Z</cp:lastPrinted>
  <dcterms:created xsi:type="dcterms:W3CDTF">2017-11-17T10:52:00Z</dcterms:created>
  <dcterms:modified xsi:type="dcterms:W3CDTF">2017-11-17T10:52:00Z</dcterms:modified>
</cp:coreProperties>
</file>